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337F81DC"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Pr="00DB3907">
        <w:rPr>
          <w:rFonts w:cs="Courier New"/>
          <w:sz w:val="24"/>
          <w:szCs w:val="24"/>
          <w:lang w:val="de-DE"/>
        </w:rPr>
        <w:tab/>
        <w:t>R4-</w:t>
      </w:r>
      <w:r w:rsidRPr="00454C81">
        <w:rPr>
          <w:rFonts w:cs="Courier New"/>
          <w:sz w:val="24"/>
          <w:szCs w:val="24"/>
          <w:lang w:val="de-DE"/>
        </w:rPr>
        <w:t>15</w:t>
      </w:r>
      <w:r w:rsidR="00010442">
        <w:rPr>
          <w:rFonts w:cs="Courier New"/>
          <w:sz w:val="24"/>
          <w:szCs w:val="24"/>
          <w:lang w:val="de-DE"/>
        </w:rPr>
        <w:t>4650</w:t>
      </w:r>
    </w:p>
    <w:p w14:paraId="24BE4D10" w14:textId="77777777" w:rsidR="0032671E" w:rsidRPr="00DB3907" w:rsidRDefault="00BE7BB5" w:rsidP="0032671E">
      <w:pPr>
        <w:pStyle w:val="Header"/>
        <w:tabs>
          <w:tab w:val="left" w:pos="6521"/>
        </w:tabs>
        <w:rPr>
          <w:rFonts w:cs="Courier New"/>
          <w:sz w:val="24"/>
          <w:szCs w:val="24"/>
        </w:rPr>
      </w:pPr>
      <w:r>
        <w:rPr>
          <w:rFonts w:cs="Courier New"/>
          <w:sz w:val="24"/>
          <w:szCs w:val="24"/>
        </w:rPr>
        <w:t>August</w:t>
      </w:r>
      <w:r w:rsidR="0032671E">
        <w:rPr>
          <w:rFonts w:cs="Courier New"/>
          <w:sz w:val="24"/>
          <w:szCs w:val="24"/>
        </w:rPr>
        <w:t xml:space="preserve"> 2</w:t>
      </w:r>
      <w:r>
        <w:rPr>
          <w:rFonts w:cs="Courier New"/>
          <w:sz w:val="24"/>
          <w:szCs w:val="24"/>
        </w:rPr>
        <w:t>4</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32671E">
        <w:rPr>
          <w:rFonts w:cs="Courier New"/>
          <w:sz w:val="24"/>
          <w:szCs w:val="24"/>
        </w:rPr>
        <w:t>2</w:t>
      </w:r>
      <w:r>
        <w:rPr>
          <w:rFonts w:cs="Courier New"/>
          <w:sz w:val="24"/>
          <w:szCs w:val="24"/>
        </w:rPr>
        <w:t>8</w:t>
      </w:r>
      <w:r w:rsidR="0032671E">
        <w:rPr>
          <w:rFonts w:cs="Courier New"/>
          <w:sz w:val="24"/>
          <w:szCs w:val="24"/>
          <w:vertAlign w:val="superscript"/>
        </w:rPr>
        <w:t>th</w:t>
      </w:r>
      <w:r w:rsidR="0032671E">
        <w:rPr>
          <w:rFonts w:cs="Courier New"/>
          <w:sz w:val="24"/>
          <w:szCs w:val="24"/>
        </w:rPr>
        <w:t>, 2015</w:t>
      </w:r>
    </w:p>
    <w:p w14:paraId="339F240C" w14:textId="77777777" w:rsidR="0032671E" w:rsidRPr="00DB3907" w:rsidRDefault="00BE7BB5" w:rsidP="0032671E">
      <w:pPr>
        <w:pStyle w:val="Header"/>
        <w:rPr>
          <w:rFonts w:cs="Courier New"/>
          <w:sz w:val="24"/>
          <w:szCs w:val="24"/>
        </w:rPr>
      </w:pPr>
      <w:r>
        <w:rPr>
          <w:rFonts w:cs="Courier New"/>
          <w:sz w:val="24"/>
          <w:szCs w:val="24"/>
        </w:rPr>
        <w:t>Bejing, China</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7550910F"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10442">
        <w:rPr>
          <w:rFonts w:ascii="Arial" w:hAnsi="Arial"/>
          <w:sz w:val="24"/>
          <w:lang w:val="en-US"/>
        </w:rPr>
        <w:t>7</w:t>
      </w:r>
      <w:r w:rsidR="0042352E">
        <w:rPr>
          <w:rFonts w:ascii="Arial" w:hAnsi="Arial"/>
          <w:sz w:val="24"/>
          <w:lang w:val="en-US"/>
        </w:rPr>
        <w:t>.</w:t>
      </w:r>
      <w:r w:rsidR="00010442">
        <w:rPr>
          <w:rFonts w:ascii="Arial" w:hAnsi="Arial"/>
          <w:sz w:val="24"/>
          <w:lang w:val="en-US"/>
        </w:rPr>
        <w:t>13</w:t>
      </w:r>
      <w:r w:rsidR="0043453D">
        <w:rPr>
          <w:rFonts w:ascii="Arial" w:hAnsi="Arial"/>
          <w:sz w:val="24"/>
          <w:lang w:val="en-US"/>
        </w:rPr>
        <w:t>.</w:t>
      </w:r>
      <w:r w:rsidR="00010442">
        <w:rPr>
          <w:rFonts w:ascii="Arial" w:hAnsi="Arial"/>
          <w:sz w:val="24"/>
          <w:lang w:val="en-US"/>
        </w:rPr>
        <w:t>1.1</w:t>
      </w:r>
    </w:p>
    <w:p w14:paraId="46BB2561" w14:textId="308AEA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D4626C">
        <w:rPr>
          <w:rFonts w:ascii="Arial" w:hAnsi="Arial"/>
          <w:sz w:val="24"/>
          <w:lang w:val="en-US"/>
        </w:rPr>
        <w:t>orporated</w:t>
      </w:r>
    </w:p>
    <w:p w14:paraId="1495DFFE" w14:textId="725E5FBC"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423F">
        <w:rPr>
          <w:rFonts w:ascii="Arial" w:hAnsi="Arial"/>
          <w:sz w:val="24"/>
          <w:lang w:val="en-US"/>
        </w:rPr>
        <w:t>LBT requirements for LAA</w:t>
      </w:r>
      <w:r w:rsidR="00DE43E9">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3ABD03C" w14:textId="7ED51182" w:rsidR="00F52796" w:rsidRDefault="00541355" w:rsidP="00D96D44">
      <w:pPr>
        <w:jc w:val="both"/>
        <w:rPr>
          <w:lang w:val="en-US"/>
        </w:rPr>
      </w:pPr>
      <w:r>
        <w:rPr>
          <w:lang w:val="en-US"/>
        </w:rPr>
        <w:t>In</w:t>
      </w:r>
      <w:r w:rsidR="00002F03">
        <w:rPr>
          <w:lang w:val="en-US"/>
        </w:rPr>
        <w:t xml:space="preserve"> last</w:t>
      </w:r>
      <w:r>
        <w:rPr>
          <w:lang w:val="en-US"/>
        </w:rPr>
        <w:t xml:space="preserve"> </w:t>
      </w:r>
      <w:r w:rsidR="00A13CF6">
        <w:rPr>
          <w:lang w:val="en-US"/>
        </w:rPr>
        <w:t>RAN</w:t>
      </w:r>
      <w:r>
        <w:rPr>
          <w:lang w:val="en-US"/>
        </w:rPr>
        <w:t xml:space="preserve"> meeting held in </w:t>
      </w:r>
      <w:r w:rsidR="00A13CF6">
        <w:rPr>
          <w:lang w:val="en-US"/>
        </w:rPr>
        <w:t>Malmo</w:t>
      </w:r>
      <w:r>
        <w:rPr>
          <w:lang w:val="en-US"/>
        </w:rPr>
        <w:t xml:space="preserve"> (RAN</w:t>
      </w:r>
      <w:r w:rsidR="00A13CF6">
        <w:rPr>
          <w:lang w:val="en-US"/>
        </w:rPr>
        <w:t xml:space="preserve"> #68</w:t>
      </w:r>
      <w:r>
        <w:rPr>
          <w:lang w:val="en-US"/>
        </w:rPr>
        <w:t xml:space="preserve">), </w:t>
      </w:r>
      <w:r w:rsidR="00AA2714">
        <w:t>a</w:t>
      </w:r>
      <w:r w:rsidR="00A13CF6">
        <w:t xml:space="preserve"> new work item</w:t>
      </w:r>
      <w:r w:rsidR="00AA2714">
        <w:t xml:space="preserve"> on Licence-Assisted A</w:t>
      </w:r>
      <w:r w:rsidR="00A13CF6">
        <w:t xml:space="preserve">ccess (LAA) </w:t>
      </w:r>
      <w:r w:rsidR="00AA2714">
        <w:t>to</w:t>
      </w:r>
      <w:r w:rsidR="00A13CF6">
        <w:t xml:space="preserve"> unlicensed spectrum was approved </w:t>
      </w:r>
      <w:r w:rsidR="00A13CF6">
        <w:fldChar w:fldCharType="begin"/>
      </w:r>
      <w:r w:rsidR="00A13CF6">
        <w:instrText xml:space="preserve"> REF _Ref419388595 \r \h </w:instrText>
      </w:r>
      <w:r w:rsidR="00D96D44">
        <w:instrText xml:space="preserve"> \* MERGEFORMAT </w:instrText>
      </w:r>
      <w:r w:rsidR="00A13CF6">
        <w:fldChar w:fldCharType="separate"/>
      </w:r>
      <w:r w:rsidR="005E04D0">
        <w:t>[1]</w:t>
      </w:r>
      <w:r w:rsidR="00A13CF6">
        <w:fldChar w:fldCharType="end"/>
      </w:r>
      <w:r w:rsidR="00A13CF6">
        <w:rPr>
          <w:lang w:val="en-US"/>
        </w:rPr>
        <w:t xml:space="preserve">. </w:t>
      </w:r>
      <w:r w:rsidR="00E3423F">
        <w:rPr>
          <w:lang w:val="en-US"/>
        </w:rPr>
        <w:t>In order to ensure fair coexistence with other technologies operating in 5GHz spectrum, LAA will adopt a</w:t>
      </w:r>
      <w:r w:rsidR="000E2463">
        <w:rPr>
          <w:lang w:val="en-US"/>
        </w:rPr>
        <w:t xml:space="preserve"> Listen Before Talk</w:t>
      </w:r>
      <w:r w:rsidR="00E3423F">
        <w:rPr>
          <w:lang w:val="en-US"/>
        </w:rPr>
        <w:t xml:space="preserve"> (LBT) procedure. In this contribution, we discuss how a possible minimum requirement for </w:t>
      </w:r>
      <w:r w:rsidR="00D96D44">
        <w:rPr>
          <w:lang w:val="en-US"/>
        </w:rPr>
        <w:t xml:space="preserve">the </w:t>
      </w:r>
      <w:r w:rsidR="00E3423F">
        <w:rPr>
          <w:lang w:val="en-US"/>
        </w:rPr>
        <w:t xml:space="preserve">LBT procedure could be defined. </w:t>
      </w:r>
    </w:p>
    <w:p w14:paraId="24EB89A5" w14:textId="77777777" w:rsidR="007C6E00" w:rsidRDefault="007C6E00" w:rsidP="007C6E00">
      <w:pPr>
        <w:pStyle w:val="Heading1"/>
        <w:tabs>
          <w:tab w:val="clear" w:pos="432"/>
          <w:tab w:val="num" w:pos="522"/>
        </w:tabs>
        <w:ind w:left="522" w:hanging="522"/>
        <w:rPr>
          <w:lang w:val="en-US"/>
        </w:rPr>
      </w:pPr>
      <w:r>
        <w:rPr>
          <w:lang w:val="en-US"/>
        </w:rPr>
        <w:t>Discussion</w:t>
      </w:r>
    </w:p>
    <w:p w14:paraId="607FE04D" w14:textId="32D81BCD" w:rsidR="00A06D3C" w:rsidRDefault="00E3423F" w:rsidP="00985A99">
      <w:pPr>
        <w:jc w:val="both"/>
      </w:pPr>
      <w:r>
        <w:t xml:space="preserve">LBT procedure </w:t>
      </w:r>
      <w:r w:rsidR="00A06D3C">
        <w:t xml:space="preserve">will be an essential element of </w:t>
      </w:r>
      <w:r w:rsidR="00D96D44">
        <w:t xml:space="preserve">the </w:t>
      </w:r>
      <w:r>
        <w:t>LAA feature.</w:t>
      </w:r>
      <w:r w:rsidR="00A06D3C">
        <w:t xml:space="preserve"> </w:t>
      </w:r>
      <w:r w:rsidR="000E2463">
        <w:t>Listen Before Talk</w:t>
      </w:r>
      <w:r>
        <w:t xml:space="preserve"> represents indeed a proved mechanism to allow spectrum sharing across different technologies operating in the same band/channel. </w:t>
      </w:r>
      <w:r w:rsidR="00A06D3C">
        <w:t>In release 13</w:t>
      </w:r>
      <w:r w:rsidR="00B21F41">
        <w:t>,</w:t>
      </w:r>
      <w:r w:rsidR="00A06D3C">
        <w:t xml:space="preserve"> only DL requirements will be defined for transmission in 5GHz spectrum, therefore the discussion presented in this contribution will mainly address </w:t>
      </w:r>
      <w:r w:rsidR="0088056F" w:rsidRPr="0088056F">
        <w:t xml:space="preserve">Base Station </w:t>
      </w:r>
      <w:r w:rsidR="00A06D3C">
        <w:t>specifications.</w:t>
      </w:r>
    </w:p>
    <w:p w14:paraId="31AC0F80" w14:textId="5876A78E" w:rsidR="00985A99" w:rsidRDefault="006D143A" w:rsidP="00985A99">
      <w:pPr>
        <w:jc w:val="both"/>
      </w:pPr>
      <w:r>
        <w:t xml:space="preserve">Defining requirements for LBT is something new that RAN4 needs to deal with. In order to understand the best way to specify a minimum requirement for </w:t>
      </w:r>
      <w:r w:rsidR="00D96D44">
        <w:t xml:space="preserve">the </w:t>
      </w:r>
      <w:r>
        <w:t xml:space="preserve">LBT procedure, we need to analyse the main components of </w:t>
      </w:r>
      <w:r w:rsidR="00D96D44">
        <w:t xml:space="preserve">the </w:t>
      </w:r>
      <w:r>
        <w:t>LBT procedure. Regardless what would be the specific algorithm defined by RAN1, it is clear t</w:t>
      </w:r>
      <w:r w:rsidR="00D96D44">
        <w:t>hat the following elements need</w:t>
      </w:r>
      <w:r>
        <w:t xml:space="preserve"> to be specified: </w:t>
      </w:r>
    </w:p>
    <w:p w14:paraId="27F38DB7" w14:textId="5326F0E0" w:rsidR="006D143A" w:rsidRPr="006D143A" w:rsidRDefault="006D143A" w:rsidP="006D143A">
      <w:pPr>
        <w:pStyle w:val="ListParagraph"/>
        <w:numPr>
          <w:ilvl w:val="0"/>
          <w:numId w:val="23"/>
        </w:numPr>
        <w:jc w:val="both"/>
        <w:rPr>
          <w:b/>
          <w:i/>
        </w:rPr>
      </w:pPr>
      <w:r>
        <w:t>a channel sensing procedure in which the channel will be declared free or busy based on an energy detection threshold</w:t>
      </w:r>
    </w:p>
    <w:p w14:paraId="5263A111" w14:textId="56A345C4" w:rsidR="006D143A" w:rsidRPr="006D143A" w:rsidRDefault="006D143A" w:rsidP="006D143A">
      <w:pPr>
        <w:pStyle w:val="ListParagraph"/>
        <w:numPr>
          <w:ilvl w:val="0"/>
          <w:numId w:val="23"/>
        </w:numPr>
        <w:jc w:val="both"/>
        <w:rPr>
          <w:b/>
          <w:i/>
        </w:rPr>
      </w:pPr>
      <w:r>
        <w:t>a back-off mechanism which will be used to postpone the transmission when the channel is detected to be busy</w:t>
      </w:r>
    </w:p>
    <w:p w14:paraId="5E7C5152" w14:textId="155E8895" w:rsidR="0023565D" w:rsidRDefault="00D96D44" w:rsidP="0023565D">
      <w:pPr>
        <w:jc w:val="both"/>
        <w:rPr>
          <w:i/>
        </w:rPr>
      </w:pPr>
      <w:r>
        <w:t>Specifications should ensure</w:t>
      </w:r>
      <w:r w:rsidR="006D143A">
        <w:t xml:space="preserve"> that a minimum performance of the sensing procedure is guaranteed. However</w:t>
      </w:r>
      <w:r w:rsidR="001B266C">
        <w:t>,</w:t>
      </w:r>
      <w:r w:rsidR="006D143A">
        <w:t xml:space="preserve"> what this performance should be also depends on the back-off procedure and, in particular, on the timing involved </w:t>
      </w:r>
      <w:r w:rsidR="0023565D">
        <w:t xml:space="preserve">in the back-off mechanism. If we look at </w:t>
      </w:r>
      <w:r>
        <w:t xml:space="preserve">the </w:t>
      </w:r>
      <w:r w:rsidR="0023565D">
        <w:t xml:space="preserve">Wi-Fi specification as an example, the minimum time unit adopted in the </w:t>
      </w:r>
      <w:r w:rsidR="001B266C">
        <w:t xml:space="preserve">back-off </w:t>
      </w:r>
      <w:r w:rsidR="0023565D">
        <w:t xml:space="preserve">procedure is the slot time, which is defined as: </w:t>
      </w:r>
      <w:r w:rsidR="0023565D">
        <w:rPr>
          <w:rFonts w:ascii="TimesNewRoman" w:hAnsi="TimesNewRoman" w:cs="TimesNewRoman"/>
          <w:lang w:val="en-US"/>
        </w:rPr>
        <w:t>CCATime + RxTxTurnaroundTime + AirPropagationTime + MACProcessingDelay.</w:t>
      </w:r>
      <w:r w:rsidR="0023565D">
        <w:t xml:space="preserve"> CCAtime is the Clear Channel Assessment time and </w:t>
      </w:r>
      <w:r w:rsidR="00B21B1F">
        <w:t xml:space="preserve">it </w:t>
      </w:r>
      <w:r w:rsidR="0023565D">
        <w:t>is defined as</w:t>
      </w:r>
      <w:r w:rsidR="00B21B1F">
        <w:t xml:space="preserve"> (</w:t>
      </w:r>
      <w:r w:rsidR="00B21B1F">
        <w:fldChar w:fldCharType="begin"/>
      </w:r>
      <w:r w:rsidR="00B21B1F">
        <w:instrText xml:space="preserve"> REF _Ref427076239 \r \h </w:instrText>
      </w:r>
      <w:r w:rsidR="00B21B1F">
        <w:fldChar w:fldCharType="separate"/>
      </w:r>
      <w:r w:rsidR="00B21B1F">
        <w:t>[3]</w:t>
      </w:r>
      <w:r w:rsidR="00B21B1F">
        <w:fldChar w:fldCharType="end"/>
      </w:r>
      <w:r w:rsidR="00B21B1F">
        <w:t xml:space="preserve">, section </w:t>
      </w:r>
      <w:r w:rsidR="00B21B1F" w:rsidRPr="00B21B1F">
        <w:t>6.5.4.2</w:t>
      </w:r>
      <w:r w:rsidR="00B21B1F">
        <w:t>)</w:t>
      </w:r>
      <w:r w:rsidR="0023565D">
        <w:t xml:space="preserve">: </w:t>
      </w:r>
      <w:r w:rsidR="0023565D" w:rsidRPr="0023565D">
        <w:rPr>
          <w:i/>
        </w:rPr>
        <w:t>The maximum time (in microseconds) the CCA mechanism has available to</w:t>
      </w:r>
      <w:r w:rsidR="0023565D">
        <w:rPr>
          <w:i/>
        </w:rPr>
        <w:t xml:space="preserve"> </w:t>
      </w:r>
      <w:r w:rsidR="0023565D" w:rsidRPr="0023565D">
        <w:rPr>
          <w:i/>
        </w:rPr>
        <w:t>assess the medium within every time slot to determine whether the medium</w:t>
      </w:r>
      <w:r w:rsidR="0023565D">
        <w:rPr>
          <w:i/>
        </w:rPr>
        <w:t xml:space="preserve"> </w:t>
      </w:r>
      <w:r w:rsidR="0023565D" w:rsidRPr="0023565D">
        <w:rPr>
          <w:i/>
        </w:rPr>
        <w:t>is busy or idle.</w:t>
      </w:r>
    </w:p>
    <w:p w14:paraId="17F3AA34" w14:textId="34F84E6D" w:rsidR="006D143A" w:rsidRDefault="001B266C" w:rsidP="00B21F41">
      <w:pPr>
        <w:jc w:val="both"/>
      </w:pPr>
      <w:r>
        <w:t xml:space="preserve">As it can be observed, in </w:t>
      </w:r>
      <w:r w:rsidR="00D96D44">
        <w:t xml:space="preserve">the </w:t>
      </w:r>
      <w:r>
        <w:t>Wi-Fi specification</w:t>
      </w:r>
      <w:r w:rsidR="00D96D44">
        <w:t>,</w:t>
      </w:r>
      <w:r w:rsidR="00B21B1F">
        <w:t xml:space="preserve"> the slot time is the minimum time unit detectable during the back-off countdown procedure and its definition includes a measure of the minimum time needed to assess whether the medium is busy or not. Of course the overall back-off performance depends on the reliability of the sensing procedure.</w:t>
      </w:r>
      <w:r>
        <w:t xml:space="preserve"> </w:t>
      </w:r>
      <w:r w:rsidR="00B21F41">
        <w:t>802.11 specifications provide a minimum requirement for CCA detection probability (</w:t>
      </w:r>
      <w:r w:rsidR="002D58A5">
        <w:fldChar w:fldCharType="begin"/>
      </w:r>
      <w:r w:rsidR="002D58A5">
        <w:instrText xml:space="preserve"> REF _Ref427076239 \r \h </w:instrText>
      </w:r>
      <w:r w:rsidR="002D58A5">
        <w:fldChar w:fldCharType="separate"/>
      </w:r>
      <w:r w:rsidR="002D58A5">
        <w:t>[3]</w:t>
      </w:r>
      <w:r w:rsidR="002D58A5">
        <w:fldChar w:fldCharType="end"/>
      </w:r>
      <w:r w:rsidR="002D58A5">
        <w:t xml:space="preserve">, </w:t>
      </w:r>
      <w:r w:rsidR="00B21F41">
        <w:t xml:space="preserve">Table 19-6): in case of slot time equal to 9usec, CCAtime=4usec and detection </w:t>
      </w:r>
      <w:r w:rsidR="00710978">
        <w:t>probability</w:t>
      </w:r>
      <w:r w:rsidR="00B21F41">
        <w:t xml:space="preserve"> is &gt;90%. In other words, Wi-Fi requirement can be read as: devices need to detect channel to be idle/busy within 4usec with probability higher than 90%.</w:t>
      </w:r>
      <w:bookmarkStart w:id="0" w:name="_GoBack"/>
      <w:bookmarkEnd w:id="0"/>
    </w:p>
    <w:p w14:paraId="20D35E02" w14:textId="0505010E" w:rsidR="00B21B1F" w:rsidRDefault="00B21B1F" w:rsidP="0023565D">
      <w:pPr>
        <w:jc w:val="both"/>
      </w:pPr>
      <w:r>
        <w:t xml:space="preserve">As already mentioned, the task of RAN4 should be to produce a minimum requirement for the sensing procedure. One possibility is to define a reliability test </w:t>
      </w:r>
      <w:r w:rsidR="00B21F41">
        <w:t xml:space="preserve">similar to Wi-Fi </w:t>
      </w:r>
      <w:r>
        <w:t>in which a minimum detection probability is guaranteed. In other words, a possible requirement c</w:t>
      </w:r>
      <w:r w:rsidR="00A06D3C">
        <w:t>ould be written in the form of</w:t>
      </w:r>
      <w:r w:rsidR="00A06D3C" w:rsidRPr="001B266C">
        <w:t>:</w:t>
      </w:r>
      <w:r w:rsidR="00A06D3C" w:rsidRPr="001B266C">
        <w:rPr>
          <w:i/>
        </w:rPr>
        <w:t xml:space="preserve"> </w:t>
      </w:r>
      <w:r w:rsidR="00340D70">
        <w:rPr>
          <w:i/>
        </w:rPr>
        <w:t>Base Station</w:t>
      </w:r>
      <w:r w:rsidR="00A06D3C" w:rsidRPr="001B266C">
        <w:rPr>
          <w:i/>
        </w:rPr>
        <w:t xml:space="preserve"> should be able to assess whether the medium is busy or idle within X usec with Y% probability</w:t>
      </w:r>
      <w:r w:rsidR="00A06D3C" w:rsidRPr="001B266C">
        <w:t xml:space="preserve">.  </w:t>
      </w:r>
    </w:p>
    <w:p w14:paraId="2A24E46C" w14:textId="0764B401" w:rsidR="00A06D3C" w:rsidRDefault="00A06D3C" w:rsidP="00A06D3C">
      <w:pPr>
        <w:jc w:val="both"/>
      </w:pPr>
      <w:r w:rsidRPr="00A06D3C">
        <w:rPr>
          <w:b/>
          <w:i/>
        </w:rPr>
        <w:t>Proposal 1</w:t>
      </w:r>
      <w:r>
        <w:rPr>
          <w:b/>
          <w:i/>
        </w:rPr>
        <w:t xml:space="preserve">: LBT requirement for </w:t>
      </w:r>
      <w:r w:rsidR="0088056F">
        <w:rPr>
          <w:b/>
          <w:i/>
        </w:rPr>
        <w:t>Base Station</w:t>
      </w:r>
      <w:r>
        <w:rPr>
          <w:b/>
          <w:i/>
        </w:rPr>
        <w:t xml:space="preserve"> should be defined in the form: </w:t>
      </w:r>
      <w:r w:rsidR="0088056F">
        <w:rPr>
          <w:b/>
          <w:i/>
        </w:rPr>
        <w:t>Base Station</w:t>
      </w:r>
      <w:r w:rsidRPr="00A06D3C">
        <w:rPr>
          <w:b/>
          <w:i/>
        </w:rPr>
        <w:t xml:space="preserve"> should be able to assess whether the medium is busy or idle within X usec with Y% probability</w:t>
      </w:r>
      <w:r>
        <w:t xml:space="preserve">.  </w:t>
      </w:r>
    </w:p>
    <w:p w14:paraId="1019EDE0" w14:textId="5D176266" w:rsidR="0023565D" w:rsidRPr="006D143A" w:rsidRDefault="00A06D3C" w:rsidP="006D143A">
      <w:pPr>
        <w:jc w:val="both"/>
      </w:pPr>
      <w:r>
        <w:lastRenderedPageBreak/>
        <w:t xml:space="preserve">It is finally worth noticing that the value of X should be jointly decided by considering the final design of </w:t>
      </w:r>
      <w:r w:rsidR="00D96D44">
        <w:t xml:space="preserve">the </w:t>
      </w:r>
      <w:r>
        <w:t>back-off procedure in RAN4.</w:t>
      </w:r>
    </w:p>
    <w:p w14:paraId="617E0DE3" w14:textId="77777777" w:rsidR="00027F27" w:rsidRDefault="0069757C" w:rsidP="00027F27">
      <w:pPr>
        <w:pStyle w:val="Heading1"/>
      </w:pPr>
      <w:r>
        <w:t>Conclusion</w:t>
      </w:r>
    </w:p>
    <w:p w14:paraId="755A58F3" w14:textId="6526BDCA" w:rsidR="005E04D0" w:rsidRPr="005E04D0" w:rsidRDefault="00A32D26" w:rsidP="00A06D3C">
      <w:pPr>
        <w:jc w:val="both"/>
        <w:rPr>
          <w:b/>
          <w:i/>
        </w:rPr>
      </w:pPr>
      <w:r>
        <w:t xml:space="preserve">In this contribution </w:t>
      </w:r>
      <w:r w:rsidR="005E04D0">
        <w:t xml:space="preserve">we </w:t>
      </w:r>
      <w:r w:rsidR="00A06D3C">
        <w:t xml:space="preserve">discussed a possible definition of minimum performance requirement for </w:t>
      </w:r>
      <w:r w:rsidR="00FB4D79">
        <w:t xml:space="preserve">the </w:t>
      </w:r>
      <w:r w:rsidR="00A06D3C">
        <w:t xml:space="preserve">LBT procedure. </w:t>
      </w:r>
      <w:r w:rsidR="001B266C">
        <w:t>By also taking into account current Wi-Fi specification for CCA procedure, we made the following proposal:</w:t>
      </w:r>
    </w:p>
    <w:p w14:paraId="4FE12400" w14:textId="218E878A" w:rsidR="0077781E" w:rsidRPr="00153374" w:rsidRDefault="001B266C" w:rsidP="00153374">
      <w:pPr>
        <w:jc w:val="both"/>
      </w:pPr>
      <w:r w:rsidRPr="00A06D3C">
        <w:rPr>
          <w:b/>
          <w:i/>
        </w:rPr>
        <w:t>Proposal 1</w:t>
      </w:r>
      <w:r>
        <w:rPr>
          <w:b/>
          <w:i/>
        </w:rPr>
        <w:t xml:space="preserve">: LBT requirement for </w:t>
      </w:r>
      <w:r w:rsidR="0088056F">
        <w:rPr>
          <w:b/>
          <w:i/>
        </w:rPr>
        <w:t>Base Station</w:t>
      </w:r>
      <w:r>
        <w:rPr>
          <w:b/>
          <w:i/>
        </w:rPr>
        <w:t xml:space="preserve"> should be defined in the form: </w:t>
      </w:r>
      <w:r w:rsidR="0088056F">
        <w:rPr>
          <w:b/>
          <w:i/>
        </w:rPr>
        <w:t>Base Station</w:t>
      </w:r>
      <w:r w:rsidRPr="00A06D3C">
        <w:rPr>
          <w:b/>
          <w:i/>
        </w:rPr>
        <w:t xml:space="preserve"> should be able to assess whether the medium is busy or idle within X usec with Y% probability</w:t>
      </w:r>
      <w:r>
        <w:t xml:space="preserve">.  </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77777777" w:rsidR="00F83D30" w:rsidRPr="00F83D30" w:rsidRDefault="00A13CF6" w:rsidP="00F83D30">
      <w:pPr>
        <w:numPr>
          <w:ilvl w:val="0"/>
          <w:numId w:val="2"/>
        </w:numPr>
        <w:tabs>
          <w:tab w:val="left" w:pos="1080"/>
        </w:tabs>
        <w:rPr>
          <w:lang w:val="en-US"/>
        </w:rPr>
      </w:pPr>
      <w:bookmarkStart w:id="1" w:name="_Ref419388595"/>
      <w:bookmarkStart w:id="2" w:name="_Ref419289036"/>
      <w:r>
        <w:t>RP-151045, “New Work Item on Licensed-Assisted Access to Unlicensed Spectrum”, Ericsson, Huawei, Qualcomm, Alcatel-Lucent, RAN#68, June 2015</w:t>
      </w:r>
      <w:r w:rsidR="00F83D30">
        <w:rPr>
          <w:lang w:val="en-US"/>
        </w:rPr>
        <w:t>.</w:t>
      </w:r>
      <w:bookmarkEnd w:id="1"/>
    </w:p>
    <w:p w14:paraId="1D4BF52C" w14:textId="77777777" w:rsidR="00DA27A7" w:rsidRDefault="00DA27A7" w:rsidP="00DA27A7">
      <w:pPr>
        <w:numPr>
          <w:ilvl w:val="0"/>
          <w:numId w:val="2"/>
        </w:numPr>
        <w:tabs>
          <w:tab w:val="left" w:pos="1080"/>
        </w:tabs>
        <w:rPr>
          <w:lang w:val="en-US"/>
        </w:rPr>
      </w:pPr>
      <w:bookmarkStart w:id="3" w:name="_Ref425857735"/>
      <w:bookmarkEnd w:id="2"/>
      <w:r w:rsidRPr="00DA27A7">
        <w:rPr>
          <w:lang w:val="en-US"/>
        </w:rPr>
        <w:t>3GPP TR 36.889 V13.0.0 (2015-06)</w:t>
      </w:r>
      <w:r>
        <w:rPr>
          <w:lang w:val="en-US"/>
        </w:rPr>
        <w:t>, “</w:t>
      </w:r>
      <w:r>
        <w:rPr>
          <w:rFonts w:eastAsia="MS Mincho"/>
        </w:rPr>
        <w:t>Study on Licensed-Assisted Access to Unlicensed Spectrum</w:t>
      </w:r>
      <w:r>
        <w:rPr>
          <w:lang w:val="en-US"/>
        </w:rPr>
        <w:t>”.</w:t>
      </w:r>
      <w:bookmarkEnd w:id="3"/>
    </w:p>
    <w:p w14:paraId="5462AF9F" w14:textId="3C3151CA" w:rsidR="0023565D" w:rsidRDefault="0023565D" w:rsidP="00DA27A7">
      <w:pPr>
        <w:numPr>
          <w:ilvl w:val="0"/>
          <w:numId w:val="2"/>
        </w:numPr>
        <w:tabs>
          <w:tab w:val="left" w:pos="1080"/>
        </w:tabs>
        <w:rPr>
          <w:lang w:val="en-US"/>
        </w:rPr>
      </w:pPr>
      <w:bookmarkStart w:id="4" w:name="_Ref427076239"/>
      <w:r>
        <w:rPr>
          <w:noProof/>
        </w:rPr>
        <w:t>“Part 11: Wireless LAN Medium Access Control (MAC) and Physical Layer (PHY) Specifications”, IEEE Standard 802.11, 2012.</w:t>
      </w:r>
      <w:bookmarkEnd w:id="4"/>
    </w:p>
    <w:p w14:paraId="2DF7FA58" w14:textId="77777777" w:rsidR="00F83D30" w:rsidRPr="00A43791" w:rsidRDefault="00F83D30" w:rsidP="00F83D30">
      <w:pPr>
        <w:tabs>
          <w:tab w:val="left" w:pos="1080"/>
        </w:tabs>
        <w:ind w:left="360"/>
        <w:rPr>
          <w:lang w:val="en-US"/>
        </w:rPr>
      </w:pPr>
    </w:p>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C3627" w14:textId="77777777" w:rsidR="006E014F" w:rsidRDefault="006E014F">
      <w:r>
        <w:separator/>
      </w:r>
    </w:p>
  </w:endnote>
  <w:endnote w:type="continuationSeparator" w:id="0">
    <w:p w14:paraId="3CDE2A34" w14:textId="77777777" w:rsidR="006E014F" w:rsidRDefault="006E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0D70">
      <w:rPr>
        <w:rStyle w:val="PageNumber"/>
      </w:rPr>
      <w:t>1</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FA13C" w14:textId="77777777" w:rsidR="006E014F" w:rsidRDefault="006E014F">
      <w:r>
        <w:separator/>
      </w:r>
    </w:p>
  </w:footnote>
  <w:footnote w:type="continuationSeparator" w:id="0">
    <w:p w14:paraId="0023362C" w14:textId="77777777" w:rsidR="006E014F" w:rsidRDefault="006E0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073254B"/>
    <w:multiLevelType w:val="hybridMultilevel"/>
    <w:tmpl w:val="E182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8"/>
  </w:num>
  <w:num w:numId="3">
    <w:abstractNumId w:val="20"/>
  </w:num>
  <w:num w:numId="4">
    <w:abstractNumId w:val="21"/>
  </w:num>
  <w:num w:numId="5">
    <w:abstractNumId w:val="16"/>
  </w:num>
  <w:num w:numId="6">
    <w:abstractNumId w:val="9"/>
  </w:num>
  <w:num w:numId="7">
    <w:abstractNumId w:val="3"/>
  </w:num>
  <w:num w:numId="8">
    <w:abstractNumId w:val="19"/>
  </w:num>
  <w:num w:numId="9">
    <w:abstractNumId w:val="10"/>
  </w:num>
  <w:num w:numId="10">
    <w:abstractNumId w:val="15"/>
  </w:num>
  <w:num w:numId="11">
    <w:abstractNumId w:val="22"/>
  </w:num>
  <w:num w:numId="12">
    <w:abstractNumId w:val="2"/>
  </w:num>
  <w:num w:numId="13">
    <w:abstractNumId w:val="12"/>
  </w:num>
  <w:num w:numId="14">
    <w:abstractNumId w:val="11"/>
  </w:num>
  <w:num w:numId="15">
    <w:abstractNumId w:val="0"/>
  </w:num>
  <w:num w:numId="16">
    <w:abstractNumId w:val="7"/>
  </w:num>
  <w:num w:numId="17">
    <w:abstractNumId w:val="4"/>
  </w:num>
  <w:num w:numId="18">
    <w:abstractNumId w:val="5"/>
  </w:num>
  <w:num w:numId="19">
    <w:abstractNumId w:val="17"/>
  </w:num>
  <w:num w:numId="20">
    <w:abstractNumId w:val="8"/>
  </w:num>
  <w:num w:numId="21">
    <w:abstractNumId w:val="6"/>
  </w:num>
  <w:num w:numId="22">
    <w:abstractNumId w:val="1"/>
  </w:num>
  <w:num w:numId="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C23"/>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4C5F"/>
    <w:rsid w:val="0023565D"/>
    <w:rsid w:val="00236663"/>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D44"/>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23F"/>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8D5"/>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DF48298-1318-4649-9078-56DFF738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244</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21</cp:revision>
  <cp:lastPrinted>2015-07-29T14:23:00Z</cp:lastPrinted>
  <dcterms:created xsi:type="dcterms:W3CDTF">2015-08-04T14:13:00Z</dcterms:created>
  <dcterms:modified xsi:type="dcterms:W3CDTF">2015-08-17T13:41:00Z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